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62" w:rsidRPr="00F32F6F" w:rsidRDefault="00BA1262" w:rsidP="00536D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>b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BA1262" w:rsidRPr="00F32F6F" w:rsidRDefault="00BA1262" w:rsidP="00536DBA">
      <w:pPr>
        <w:pStyle w:val="NoSpacing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A1262" w:rsidRPr="00F32F6F" w:rsidRDefault="00BA1262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BA1262" w:rsidRPr="00F32F6F" w:rsidRDefault="00BA1262" w:rsidP="00536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BA1262" w:rsidRPr="00F32F6F" w:rsidRDefault="00BA1262" w:rsidP="00536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1262" w:rsidRPr="00823CD7" w:rsidRDefault="00BA1262" w:rsidP="00536DB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BA1262" w:rsidRPr="00823CD7" w:rsidRDefault="00BA1262" w:rsidP="00536DB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BA1262" w:rsidRPr="00823CD7" w:rsidRDefault="00BA1262" w:rsidP="00536DB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BA1262" w:rsidRPr="00823CD7" w:rsidRDefault="00BA1262" w:rsidP="00536DB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BA1262" w:rsidRPr="00823CD7" w:rsidRDefault="00BA1262" w:rsidP="00536DB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BA1262" w:rsidRPr="00823CD7" w:rsidRDefault="00BA1262" w:rsidP="00536DB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BA1262" w:rsidRPr="00F32F6F" w:rsidRDefault="00BA1262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BA1262" w:rsidRPr="00F32F6F" w:rsidRDefault="00BA1262" w:rsidP="00536DBA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BA1262" w:rsidRPr="00F32F6F" w:rsidRDefault="00BA1262" w:rsidP="00536D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>
          <w:rPr>
            <w:rFonts w:ascii="Times New Roman" w:hAnsi="Times New Roman"/>
            <w:b/>
            <w:bCs/>
            <w:sz w:val="24"/>
            <w:szCs w:val="24"/>
          </w:rPr>
          <w:t>2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BA1262" w:rsidRPr="00F32F6F" w:rsidRDefault="00BA1262" w:rsidP="00536DBA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BA1262" w:rsidRPr="00F32F6F" w:rsidRDefault="00BA1262" w:rsidP="00536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A1262" w:rsidRPr="00F32F6F" w:rsidRDefault="00BA1262" w:rsidP="00536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BA1262" w:rsidRPr="00F32F6F" w:rsidRDefault="00BA1262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262" w:rsidRDefault="00BA1262" w:rsidP="00536DB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BA1262" w:rsidRDefault="00BA1262" w:rsidP="00536DB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A1262" w:rsidRDefault="00BA1262" w:rsidP="00536DB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BA1262" w:rsidRPr="00F32F6F" w:rsidRDefault="00BA1262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72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562"/>
        <w:gridCol w:w="2634"/>
        <w:gridCol w:w="1271"/>
        <w:gridCol w:w="798"/>
        <w:gridCol w:w="954"/>
      </w:tblGrid>
      <w:tr w:rsidR="00BA1262" w:rsidRPr="00F32F6F" w:rsidTr="0054088C">
        <w:trPr>
          <w:trHeight w:val="567"/>
          <w:jc w:val="center"/>
        </w:trPr>
        <w:tc>
          <w:tcPr>
            <w:tcW w:w="1562" w:type="dxa"/>
            <w:vMerge w:val="restart"/>
            <w:vAlign w:val="center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BA1262" w:rsidRPr="00F32F6F" w:rsidRDefault="00BA1262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BA1262" w:rsidRPr="00F32F6F" w:rsidRDefault="00BA1262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271" w:type="dxa"/>
            <w:vMerge w:val="restart"/>
            <w:tcBorders>
              <w:right w:val="double" w:sz="4" w:space="0" w:color="auto"/>
            </w:tcBorders>
            <w:vAlign w:val="center"/>
          </w:tcPr>
          <w:p w:rsidR="00BA1262" w:rsidRPr="00F32F6F" w:rsidRDefault="00BA1262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BA1262" w:rsidRPr="00F32F6F" w:rsidRDefault="00BA1262" w:rsidP="0054088C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BA1262" w:rsidRPr="00F32F6F" w:rsidRDefault="00BA1262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  <w:vAlign w:val="center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1262" w:rsidRPr="00F32F6F" w:rsidTr="0054088C">
        <w:trPr>
          <w:trHeight w:val="1020"/>
          <w:jc w:val="center"/>
        </w:trPr>
        <w:tc>
          <w:tcPr>
            <w:tcW w:w="1562" w:type="dxa"/>
            <w:vMerge/>
            <w:vAlign w:val="center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double" w:sz="4" w:space="0" w:color="auto"/>
            </w:tcBorders>
            <w:vAlign w:val="center"/>
          </w:tcPr>
          <w:p w:rsidR="00BA1262" w:rsidRPr="00F32F6F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BA1262" w:rsidRPr="00F32F6F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54" w:type="dxa"/>
            <w:vAlign w:val="center"/>
          </w:tcPr>
          <w:p w:rsidR="00BA1262" w:rsidRPr="00F32F6F" w:rsidRDefault="00BA1262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BA1262" w:rsidRPr="00F32F6F" w:rsidRDefault="00BA1262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BA1262" w:rsidRPr="00F32F6F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1262" w:rsidRPr="00F32F6F" w:rsidTr="0054088C">
        <w:trPr>
          <w:trHeight w:val="170"/>
          <w:jc w:val="center"/>
        </w:trPr>
        <w:tc>
          <w:tcPr>
            <w:tcW w:w="1562" w:type="dxa"/>
            <w:vAlign w:val="center"/>
          </w:tcPr>
          <w:p w:rsidR="00BA1262" w:rsidRPr="00F32F6F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left w:val="double" w:sz="4" w:space="0" w:color="auto"/>
            </w:tcBorders>
            <w:vAlign w:val="center"/>
          </w:tcPr>
          <w:p w:rsidR="00BA1262" w:rsidRPr="00F32F6F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BA1262" w:rsidRPr="00F32F6F" w:rsidTr="0054088C">
        <w:trPr>
          <w:trHeight w:val="57"/>
          <w:jc w:val="center"/>
        </w:trPr>
        <w:tc>
          <w:tcPr>
            <w:tcW w:w="1562" w:type="dxa"/>
            <w:vAlign w:val="center"/>
          </w:tcPr>
          <w:p w:rsidR="00BA1262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Stacja robocza wraz z monitorem, klawiaturą, myszą:</w:t>
            </w:r>
          </w:p>
        </w:tc>
        <w:tc>
          <w:tcPr>
            <w:tcW w:w="2634" w:type="dxa"/>
            <w:vAlign w:val="bottom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vAlign w:val="bottom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98" w:type="dxa"/>
            <w:tcBorders>
              <w:left w:val="double" w:sz="4" w:space="0" w:color="auto"/>
            </w:tcBorders>
            <w:vAlign w:val="bottom"/>
          </w:tcPr>
          <w:p w:rsidR="00BA1262" w:rsidRPr="00F32F6F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  <w:tr w:rsidR="00BA1262" w:rsidRPr="00F32F6F" w:rsidTr="0054088C">
        <w:trPr>
          <w:trHeight w:val="57"/>
          <w:jc w:val="center"/>
        </w:trPr>
        <w:tc>
          <w:tcPr>
            <w:tcW w:w="1562" w:type="dxa"/>
            <w:vAlign w:val="center"/>
          </w:tcPr>
          <w:p w:rsidR="00BA1262" w:rsidRPr="005B4D12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Komputer wraz  z monitorem, klawiaturą i myszą</w:t>
            </w:r>
          </w:p>
        </w:tc>
        <w:tc>
          <w:tcPr>
            <w:tcW w:w="2634" w:type="dxa"/>
            <w:vAlign w:val="bottom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vAlign w:val="bottom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98" w:type="dxa"/>
            <w:tcBorders>
              <w:left w:val="double" w:sz="4" w:space="0" w:color="auto"/>
            </w:tcBorders>
            <w:vAlign w:val="bottom"/>
          </w:tcPr>
          <w:p w:rsidR="00BA1262" w:rsidRPr="00F32F6F" w:rsidRDefault="00BA1262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BA1262" w:rsidRPr="00F32F6F" w:rsidRDefault="00BA1262" w:rsidP="00540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BA1262" w:rsidRPr="00F32F6F" w:rsidRDefault="00BA1262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BA1262" w:rsidRDefault="00BA1262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BA1262" w:rsidRPr="00F32F6F" w:rsidRDefault="00BA1262" w:rsidP="00536DBA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BA1262" w:rsidRPr="00F32F6F" w:rsidRDefault="00BA1262" w:rsidP="00536DBA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BA1262" w:rsidRPr="00F32F6F" w:rsidRDefault="00BA1262" w:rsidP="00536DB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A1262" w:rsidRPr="00F32F6F" w:rsidRDefault="00BA1262" w:rsidP="00536DB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A1262" w:rsidRPr="00F32F6F" w:rsidRDefault="00BA1262" w:rsidP="00536DBA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BA1262" w:rsidRPr="00F32F6F" w:rsidRDefault="00BA1262" w:rsidP="00536DBA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A1262" w:rsidRPr="00F32F6F" w:rsidRDefault="00BA1262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BA1262" w:rsidRPr="00F32F6F" w:rsidRDefault="00BA1262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BA1262" w:rsidRPr="00F32F6F" w:rsidRDefault="00BA1262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BA1262" w:rsidRPr="00F32F6F" w:rsidRDefault="00BA1262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BA1262" w:rsidRPr="00F32F6F" w:rsidRDefault="00BA1262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BA1262" w:rsidRPr="00F32F6F" w:rsidRDefault="00BA1262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A1262" w:rsidRPr="00F32F6F" w:rsidRDefault="00BA1262" w:rsidP="00536DBA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BA1262" w:rsidRPr="00F32F6F" w:rsidRDefault="00BA1262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BA1262" w:rsidRPr="00F32F6F" w:rsidRDefault="00BA1262" w:rsidP="00536DB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BA1262" w:rsidRPr="00F32F6F" w:rsidRDefault="00BA1262" w:rsidP="00536DBA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BA1262" w:rsidRPr="00F32F6F" w:rsidRDefault="00BA1262" w:rsidP="00536DBA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BA1262" w:rsidRPr="00F32F6F" w:rsidRDefault="00BA1262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pStyle w:val="Tiret1"/>
        <w:rPr>
          <w:szCs w:val="24"/>
        </w:rPr>
      </w:pPr>
      <w:r w:rsidRPr="00F32F6F">
        <w:t>Specyfikacja oferty</w:t>
      </w:r>
    </w:p>
    <w:p w:rsidR="00BA1262" w:rsidRDefault="00BA1262">
      <w:pPr>
        <w:sectPr w:rsidR="00BA126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1262" w:rsidRDefault="00BA1262"/>
    <w:p w:rsidR="00BA1262" w:rsidRDefault="00BA1262" w:rsidP="00536DBA">
      <w:pPr>
        <w:rPr>
          <w:rFonts w:ascii="Times New Roman" w:hAnsi="Times New Roman"/>
          <w:b/>
          <w:sz w:val="28"/>
          <w:szCs w:val="28"/>
        </w:rPr>
      </w:pPr>
    </w:p>
    <w:p w:rsidR="00BA1262" w:rsidRDefault="00BA1262" w:rsidP="00536DBA">
      <w:pPr>
        <w:rPr>
          <w:rFonts w:ascii="Times New Roman" w:hAnsi="Times New Roman"/>
          <w:b/>
          <w:sz w:val="28"/>
          <w:szCs w:val="28"/>
        </w:rPr>
      </w:pPr>
    </w:p>
    <w:tbl>
      <w:tblPr>
        <w:tblW w:w="5241" w:type="pct"/>
        <w:tblInd w:w="-80" w:type="dxa"/>
        <w:tblCellMar>
          <w:left w:w="70" w:type="dxa"/>
          <w:right w:w="70" w:type="dxa"/>
        </w:tblCellMar>
        <w:tblLook w:val="0000"/>
      </w:tblPr>
      <w:tblGrid>
        <w:gridCol w:w="4228"/>
        <w:gridCol w:w="7332"/>
        <w:gridCol w:w="3264"/>
      </w:tblGrid>
      <w:tr w:rsidR="00BA1262" w:rsidTr="0054088C">
        <w:trPr>
          <w:cantSplit/>
        </w:trPr>
        <w:tc>
          <w:tcPr>
            <w:tcW w:w="11875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</w:rPr>
              <w:t>POZYCJA 1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Ilość sztuk: 1</w:t>
            </w:r>
          </w:p>
        </w:tc>
      </w:tr>
      <w:tr w:rsidR="00BA1262" w:rsidTr="0054088C">
        <w:trPr>
          <w:cantSplit/>
          <w:trHeight w:val="567"/>
        </w:trPr>
        <w:tc>
          <w:tcPr>
            <w:tcW w:w="11875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Stacja robocza wraz z monitorem, klawiaturą, myszą:</w:t>
            </w:r>
          </w:p>
        </w:tc>
        <w:tc>
          <w:tcPr>
            <w:tcW w:w="33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1187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33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1187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33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</w:tr>
      <w:tr w:rsidR="00BA1262" w:rsidTr="0054088C">
        <w:trPr>
          <w:cantSplit/>
          <w:trHeight w:val="70"/>
        </w:trPr>
        <w:tc>
          <w:tcPr>
            <w:tcW w:w="11875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33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Oferowane parametry*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Uzyskujący w teście PassMark - CPU Benchmark wynik nie mniej niż 23 337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pkt (według rankingu z dnia 11.05.2020r.), wynik zaoferowanego procesora musi znajdować się na stronie internetowej: http://www.cpubenchmark.net/cpu_list.php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Kompatybilna z zaoferowanym procesorem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RPr="00DC3109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Pr="00453EAF" w:rsidRDefault="00BA1262" w:rsidP="0054088C">
            <w:pPr>
              <w:rPr>
                <w:sz w:val="20"/>
                <w:szCs w:val="20"/>
                <w:lang w:val="en-US" w:eastAsia="pl-PL"/>
              </w:rPr>
            </w:pPr>
            <w:r w:rsidRPr="00453EAF">
              <w:rPr>
                <w:sz w:val="20"/>
                <w:szCs w:val="20"/>
                <w:lang w:val="en-US" w:eastAsia="pl-PL"/>
              </w:rPr>
              <w:t>PCI Express x16, PCI Express x1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Pr="00453EAF" w:rsidRDefault="00BA1262" w:rsidP="0054088C">
            <w:pPr>
              <w:rPr>
                <w:lang w:val="en-US"/>
              </w:rPr>
            </w:pPr>
            <w:r w:rsidRPr="00453EAF">
              <w:rPr>
                <w:sz w:val="20"/>
                <w:szCs w:val="20"/>
                <w:lang w:val="en-US"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val="en-US"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Kontroler SATA 3 x 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32 DDR4 3200Mhz,  możliwość rozbudowy do min. 64GB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DYSK SSD 512GB,  SATA III, 520MB/450MB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DYSK TWARDY 1TB, 7200RPM, SATA III, 64MB Cache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DVD-RW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 xml:space="preserve">Uzyskujący w teście </w:t>
            </w:r>
            <w:bookmarkStart w:id="0" w:name="__DdeLink__12_3070494806"/>
            <w:r>
              <w:rPr>
                <w:sz w:val="20"/>
                <w:szCs w:val="20"/>
                <w:lang w:eastAsia="pl-PL"/>
              </w:rPr>
              <w:t>PassMark</w:t>
            </w:r>
            <w:bookmarkEnd w:id="0"/>
            <w:r>
              <w:rPr>
                <w:sz w:val="20"/>
                <w:szCs w:val="20"/>
                <w:lang w:eastAsia="pl-PL"/>
              </w:rPr>
              <w:t xml:space="preserve"> – G3D Benchmark wynik nie mniej niż 16667 pkt (według rankingu z dnia 11.05.2020r.), wynik zaoferowanego procesora graficznego musi znajdować się na stronie internetowej: https://www.videocardbenchmark.net/gpu_list.php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 1Gb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Standardowa, USB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Optyczna ze scrollem, USB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1xUSB-C, 2xUSB3.0, 2xUSB2.0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val="en-US"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Wejście audio, wyjście audio, wejście mikrofonu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Zapewniający prawidłowe działanie komputera z podłączonymi wszystkimi możliwymi dla oferowanego komputera opcjami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Wyposażony w zabezpieczenia przeciwzwarciowe, przeciwprzepięciowe, i przeciwzakłóceniowe zapobiegające uszkodzeniu m.in. płyty głównej i procesora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Tower / Minitower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Zapewniająca właściwe chłodzenie elementów oraz wyciszenie jednostki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 x USB na przednim panelu (nie dopuszcza się stosowania konwerterów, przejściówek, itp.)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Wyjście audio oraz wejście mikrofonu na przednim panelu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 xml:space="preserve">Przekątna:  </w:t>
            </w:r>
            <w:smartTag w:uri="urn:schemas-microsoft-com:office:smarttags" w:element="metricconverter">
              <w:smartTagPr>
                <w:attr w:name="ProductID" w:val="27 cali"/>
              </w:smartTagPr>
              <w:r>
                <w:rPr>
                  <w:sz w:val="20"/>
                  <w:szCs w:val="20"/>
                  <w:lang w:eastAsia="pl-PL"/>
                </w:rPr>
                <w:t>27 cali</w:t>
              </w:r>
            </w:smartTag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r>
              <w:t>Zakrzywiony ekran: nie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Regulacja kąta pochylenia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Kąt widzenia: 170 stopni pion, 170 stopni poziom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Rozdzielczość: 2560 x 1440 (WQHD)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Zastosowane technologie: LED Backlight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Częstotliwość odświeżania: 144 Hz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Jasność cd/m2: 300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Normy promieniowania zgodne z CE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Typ matrycy: VA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Windows 10 Pro 64-bit w polskiej wersji językowej lub równoważny 64-bitowy, stabilny system operacyjny w języku polskim, w pełni obsługujący pracę w domenie i kontrolę użytkowników w technologii Active Directory, pozwalający na zcentralizowane zarządzanie oprogramowaniem i konfigurację systemu w technologii Group Policy.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Oprogramowanie biurowe</w:t>
            </w:r>
          </w:p>
        </w:tc>
        <w:tc>
          <w:tcPr>
            <w:tcW w:w="7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Office 2019 PRO PL (licencja wieczysta) lub równoważny tzn. pakiet biurowy zawierający wszystkie elementy Microsoft Office Pro PL 2019, w pełni obsługujące wszystkie istniejące dokumenty bez utraty jakichkolwiek ich parametrów i cech użytkowych (korespondencja seryjna, arkusze kalkulacyjne zawierające makra i formularze, bazy danych itp.</w:t>
            </w:r>
          </w:p>
          <w:p w:rsidR="00BA1262" w:rsidRDefault="00BA1262" w:rsidP="0054088C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Dokumentacja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Instrukcja obsługi w języku polskim. Sterowniki do zainstalowanych podzespołów.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/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Okres gwarancji 36 miesięcy, on-site, next day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 przypadku awarii dysku twardego uszkodzony dysk pozostaje u zamawiającego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Certyfikaty</w:t>
            </w:r>
          </w:p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(w języku polskim lub angielskim.)</w:t>
            </w:r>
          </w:p>
        </w:tc>
        <w:tc>
          <w:tcPr>
            <w:tcW w:w="7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Karta katalogowa oferowanego produktu lub inny dokument potwierdzający wynik testu PassMark - CPU Benchmark - wynik nie mniejszy niż 23 337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pkt (według rankingu z dnia 11.05.2020r.);  PassMark – G3D Benchmark wynik nie mniej niż 16667 pkt (według rankingu z dnia 10.05.2020r.)</w:t>
            </w:r>
          </w:p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Certyfikat PN-EN ISO 9001:2001(ISO 9001:2001), PN-EN ISO14001:2005 (ISO 14001:2005) oraz PN-ISO/IEC 27001:2007 lub nowsze,</w:t>
            </w:r>
          </w:p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producenta o zgodności z dyrektywami EMC 2004/108/WE oraz R&amp;TTE 1999/5/EWG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 </w:t>
            </w:r>
          </w:p>
        </w:tc>
      </w:tr>
      <w:tr w:rsidR="00BA1262" w:rsidTr="0054088C">
        <w:trPr>
          <w:cantSplit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7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lang w:eastAsia="pl-PL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BA1262" w:rsidRDefault="00BA1262" w:rsidP="00536DBA">
      <w:pPr>
        <w:rPr>
          <w:rFonts w:ascii="Times New Roman" w:hAnsi="Times New Roman"/>
          <w:b/>
          <w:sz w:val="20"/>
          <w:szCs w:val="20"/>
        </w:rPr>
      </w:pPr>
    </w:p>
    <w:p w:rsidR="00BA1262" w:rsidRDefault="00BA1262" w:rsidP="00536DBA">
      <w:pPr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00"/>
      </w:tblPr>
      <w:tblGrid>
        <w:gridCol w:w="4310"/>
        <w:gridCol w:w="7191"/>
        <w:gridCol w:w="2641"/>
      </w:tblGrid>
      <w:tr w:rsidR="00BA1262" w:rsidTr="0054088C">
        <w:trPr>
          <w:cantSplit/>
        </w:trPr>
        <w:tc>
          <w:tcPr>
            <w:tcW w:w="783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POZYCJA 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Ilość sztuk: 2</w:t>
            </w:r>
          </w:p>
        </w:tc>
      </w:tr>
      <w:tr w:rsidR="00BA1262" w:rsidTr="0054088C">
        <w:trPr>
          <w:cantSplit/>
        </w:trPr>
        <w:tc>
          <w:tcPr>
            <w:tcW w:w="7838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wraz  z monitorem, klawiaturą i myszą:</w:t>
            </w: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Oferowane parametry*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 xml:space="preserve">Uzyskujący w teście PassMark - CPU Benchmark wynik nie mniej niż 8 913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pkt (według rankingu z dnia 11.05.2020r.), wynik zaoferowanego procesora musi znajdować się na stronie internetowej: http://www.cpubenchmark.net/cpu_list.php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Zintegrowany w procesorze układ graficzny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Kompatybilna z zaoferowanym procesorem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RPr="00DC3109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  <w:lang w:val="en-US" w:eastAsia="pl-PL"/>
              </w:rPr>
              <w:t>PCI Express x16, PCI Express x1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  <w:lang w:val="en-US"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Pr="00876D32" w:rsidRDefault="00BA1262" w:rsidP="0054088C">
            <w:pPr>
              <w:snapToGrid w:val="0"/>
              <w:rPr>
                <w:lang w:val="en-US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Kontroler SATA 6,0 Gb/s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 GB,  DDR4 2400Mhz, możliwość rozbudowy do min. 32GB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256GB  SSD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DVD-RW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 1Gb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Standardowa, USB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Optyczna ze scrollem, USB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 x USB 3.0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Wejście audio, wyjście audio, wejście mikrofonu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Zapewniający prawidłowe działanie komputera z podłączonymi wszystkimi możliwymi dla oferowanego komputera opcjami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Wyposażony w zabezpieczenia przeciwzwarciowe, przeciwprzepięciowe, i przeciwzakłóceniowe zapobiegające uszkodzeniu m.in. płyty głównej i procesora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Małogabarytowa, typu desktop-tower do pracy w pozycji poziomej i pionowej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Zapewniająca właściwe chłodzenie elementów oraz wyciszenie jednostki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 x USB 2.0 i 2 x USB 3.0 (nie dopuszcza się stosowania konwerterów, przejściówek, itp.)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Wyposażona w:</w:t>
            </w:r>
          </w:p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 zewnętrzną zatokę  5.25”</w:t>
            </w:r>
          </w:p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 wewnętrzną zatokę 3,5”</w:t>
            </w:r>
          </w:p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 wewnętrzną zatokę 2,5”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Wyjście audio oraz wejście mikrofonu na przednim panelu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Przekątna  23 cale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Rozdzielczość 1920x1080 pikseli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Windows 10 Pro 64-bit w polskiej wersji językowej lub równoważny 64-bitowy, stabilny system operacyjny w języku polskim, w pełni obsługujący pracę w domenie i kontrolę użytkowników w technologii Active Directory, pozwalający na zcentralizowane zarządzanie oprogramowaniem i konfigurację systemu w technologii Group Policy.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Oprogramowanie biurowe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 2019 PRO PL (licencja wieczysta) lub równoważny tzn. pakiet biurowy zawierający wszystkie elementy Microsoft Office Pro PL 2019, w pełni obsługujące wszystkie istniejące dokumenty bez utraty jakichkolwiek ich parametrów i cech użytkowych (korespondencja seryjna, arkusze kalkulacyjne zawierające makra i formularze, bazy danych itp.</w:t>
            </w:r>
          </w:p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Dokumentacja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Instrukcja obsługi w języku polskim. Sterowniki do zainstalowanych podzespołów.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Okres gwarancji 36 miesiący, door-to-door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 przypadku awarii dysku twardego uszkodzony dysk pozostaje u zamawiającego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Certyfikaty</w:t>
            </w:r>
          </w:p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(w języku polskim lub angielskim.)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r>
              <w:rPr>
                <w:sz w:val="20"/>
                <w:szCs w:val="20"/>
                <w:lang w:eastAsia="pl-PL"/>
              </w:rPr>
              <w:t>Karta katalogowa oferowanego produktu lub inny dokument potwierdzający wynik testu PassMark - CPU Benchmark - wynik nie mniejszy niż 8 913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pkt (według rankingu z dnia 11.05.2020r.)</w:t>
            </w:r>
          </w:p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Certyfikat PN-EN ISO 9001:2001(ISO 9001:2001), PN-EN ISO14001:2005 (ISO 14001:2005) oraz PN-ISO/IEC 27001:2007 lub nowsze,</w:t>
            </w:r>
          </w:p>
          <w:p w:rsidR="00BA1262" w:rsidRDefault="00BA1262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producenta o zgodności z dyrektywami EMC 2004/108/WE oraz R&amp;TTE 1999/5/EWG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 </w:t>
            </w:r>
          </w:p>
        </w:tc>
      </w:tr>
      <w:tr w:rsidR="00BA1262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262" w:rsidRDefault="00BA1262" w:rsidP="0054088C">
            <w:pPr>
              <w:snapToGrid w:val="0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62" w:rsidRDefault="00BA1262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BA1262" w:rsidRDefault="00BA1262" w:rsidP="00536DBA">
      <w:pPr>
        <w:rPr>
          <w:rFonts w:ascii="Times New Roman" w:hAnsi="Times New Roman"/>
          <w:b/>
          <w:sz w:val="20"/>
          <w:szCs w:val="20"/>
        </w:rPr>
      </w:pPr>
    </w:p>
    <w:p w:rsidR="00BA1262" w:rsidRDefault="00BA1262" w:rsidP="00536DBA">
      <w:pPr>
        <w:rPr>
          <w:rFonts w:ascii="Times New Roman" w:hAnsi="Times New Roman"/>
          <w:b/>
          <w:sz w:val="20"/>
          <w:szCs w:val="20"/>
        </w:rPr>
      </w:pPr>
    </w:p>
    <w:p w:rsidR="00BA1262" w:rsidRDefault="00BA1262" w:rsidP="00536DBA">
      <w:pPr>
        <w:rPr>
          <w:rFonts w:ascii="Times New Roman" w:hAnsi="Times New Roman"/>
          <w:sz w:val="20"/>
          <w:szCs w:val="20"/>
        </w:rPr>
      </w:pPr>
    </w:p>
    <w:p w:rsidR="00BA1262" w:rsidRDefault="00BA1262" w:rsidP="00536DBA">
      <w:pPr>
        <w:rPr>
          <w:rFonts w:ascii="Times New Roman" w:hAnsi="Times New Roman"/>
          <w:b/>
          <w:sz w:val="20"/>
          <w:szCs w:val="20"/>
        </w:rPr>
      </w:pPr>
      <w:r w:rsidRPr="004E2E49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BA1262" w:rsidRPr="00F32F6F" w:rsidRDefault="00BA1262" w:rsidP="00536DBA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BA1262" w:rsidRPr="00F32F6F" w:rsidRDefault="00BA1262" w:rsidP="00536DBA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A1262" w:rsidRDefault="00BA1262"/>
    <w:p w:rsidR="00BA1262" w:rsidRDefault="00BA1262">
      <w:pPr>
        <w:spacing w:after="160" w:line="259" w:lineRule="auto"/>
        <w:jc w:val="left"/>
      </w:pPr>
      <w:r>
        <w:br w:type="page"/>
      </w:r>
    </w:p>
    <w:p w:rsidR="00BA1262" w:rsidRDefault="00BA1262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  <w:sectPr w:rsidR="00BA1262" w:rsidSect="00B84DE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BA1262" w:rsidRDefault="00BA1262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BA1262" w:rsidRDefault="00BA1262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  <w:bookmarkStart w:id="1" w:name="_GoBack"/>
      <w:bookmarkEnd w:id="1"/>
    </w:p>
    <w:p w:rsidR="00BA1262" w:rsidRPr="00F32F6F" w:rsidRDefault="00BA1262" w:rsidP="00536DBA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BA1262" w:rsidRPr="00F32F6F" w:rsidRDefault="00BA1262" w:rsidP="00536DBA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BA1262" w:rsidRPr="00F32F6F" w:rsidRDefault="00BA1262" w:rsidP="00536DBA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BA1262" w:rsidRPr="00F32F6F" w:rsidRDefault="00BA1262" w:rsidP="00536DBA">
      <w:pPr>
        <w:pStyle w:val="ListParagraph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BA1262" w:rsidRPr="00F32F6F" w:rsidRDefault="00BA1262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IPiSS zapewnia kontakt z inspektorem ochrony danych osobowych za pośrednictwem adresu e-mail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</w:t>
      </w:r>
      <w:r w:rsidRPr="00F32F6F">
        <w:rPr>
          <w:rFonts w:ascii="Times New Roman" w:hAnsi="Times New Roman"/>
          <w:sz w:val="24"/>
          <w:szCs w:val="24"/>
          <w:lang/>
        </w:rPr>
        <w:t xml:space="preserve">  </w:t>
      </w:r>
    </w:p>
    <w:p w:rsidR="00BA1262" w:rsidRPr="00F32F6F" w:rsidRDefault="00BA1262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F32F6F">
        <w:rPr>
          <w:rFonts w:ascii="Times New Roman" w:hAnsi="Times New Roman"/>
          <w:sz w:val="24"/>
          <w:szCs w:val="24"/>
          <w:lang/>
        </w:rPr>
        <w:t xml:space="preserve">RODO w celu </w:t>
      </w:r>
      <w:r w:rsidRPr="00F32F6F">
        <w:rPr>
          <w:rFonts w:ascii="Times New Roman" w:hAnsi="Times New Roman"/>
          <w:sz w:val="24"/>
          <w:szCs w:val="24"/>
        </w:rPr>
        <w:t>związanym z niniejszym postępowaniem o udzielenie zamówienia publicznego;</w:t>
      </w:r>
    </w:p>
    <w:p w:rsidR="00BA1262" w:rsidRPr="00F32F6F" w:rsidRDefault="00BA1262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BA1262" w:rsidRPr="00F32F6F" w:rsidRDefault="00BA1262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BA1262" w:rsidRPr="00F32F6F" w:rsidRDefault="00BA1262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BA1262" w:rsidRPr="00F32F6F" w:rsidRDefault="00BA1262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  <w:lang/>
        </w:rPr>
        <w:t>w odniesieniu do Pani/Pana danych osobowych decyzje nie będą podejmowane w sposób zautomatyzowany, stosowanie do art. 22 RODO;</w:t>
      </w:r>
    </w:p>
    <w:p w:rsidR="00BA1262" w:rsidRPr="00F32F6F" w:rsidRDefault="00BA1262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posiada Pani/Pan:</w:t>
      </w:r>
    </w:p>
    <w:p w:rsidR="00BA1262" w:rsidRPr="00F32F6F" w:rsidRDefault="00BA1262" w:rsidP="00536DB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na podstawie art. 15 RODO prawo dostępu do danych osobowych Pani/Pana dotyczących;</w:t>
      </w:r>
    </w:p>
    <w:p w:rsidR="00BA1262" w:rsidRPr="00F32F6F" w:rsidRDefault="00BA1262" w:rsidP="00536DB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  <w:lang/>
        </w:rPr>
        <w:t>**</w:t>
      </w:r>
      <w:r w:rsidRPr="00F32F6F">
        <w:rPr>
          <w:rFonts w:ascii="Times New Roman" w:hAnsi="Times New Roman"/>
          <w:sz w:val="24"/>
          <w:szCs w:val="24"/>
          <w:lang/>
        </w:rPr>
        <w:t>;</w:t>
      </w:r>
    </w:p>
    <w:p w:rsidR="00BA1262" w:rsidRPr="00F32F6F" w:rsidRDefault="00BA1262" w:rsidP="00536DB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A1262" w:rsidRPr="00F32F6F" w:rsidRDefault="00BA1262" w:rsidP="00536DB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wniesienia skargi do Prezesa Urzędu Ochrony Danych Osobowych, gdy uzna Pani/Pan, że przetwarzanie danych osobowych Pani/Pana dotyczących narusza przepisy RODO;</w:t>
      </w:r>
    </w:p>
    <w:p w:rsidR="00BA1262" w:rsidRPr="00F32F6F" w:rsidRDefault="00BA1262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nie przysługuje Pani/Panu:</w:t>
      </w:r>
    </w:p>
    <w:p w:rsidR="00BA1262" w:rsidRPr="00F32F6F" w:rsidRDefault="00BA1262" w:rsidP="00536DB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w związku z art. 17 ust. 3 lit. b, d lub e RODO prawo do usunięcia danych osobowych;</w:t>
      </w:r>
    </w:p>
    <w:p w:rsidR="00BA1262" w:rsidRPr="00F32F6F" w:rsidRDefault="00BA1262" w:rsidP="00536DB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przenoszenia danych osobowych, o którym mowa w art. 20 RODO;</w:t>
      </w:r>
    </w:p>
    <w:p w:rsidR="00BA1262" w:rsidRPr="00F32F6F" w:rsidRDefault="00BA1262" w:rsidP="00536DB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b/>
          <w:sz w:val="24"/>
          <w:szCs w:val="24"/>
          <w:lang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  <w:lang/>
        </w:rPr>
        <w:t>.</w:t>
      </w:r>
      <w:r w:rsidRPr="00F32F6F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BA1262" w:rsidRPr="00F32F6F" w:rsidRDefault="00BA1262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BA1262" w:rsidRPr="00F32F6F" w:rsidRDefault="00BA1262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A1262" w:rsidRPr="00F32F6F" w:rsidRDefault="00BA1262" w:rsidP="00536DB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BA1262" w:rsidRPr="00F32F6F" w:rsidRDefault="00BA1262" w:rsidP="00536DB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BA1262" w:rsidRPr="00F32F6F" w:rsidRDefault="00BA1262" w:rsidP="00536D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BA1262" w:rsidRPr="00F32F6F" w:rsidRDefault="00BA1262" w:rsidP="00536DBA">
      <w:pPr>
        <w:pStyle w:val="NoSpacing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BA1262" w:rsidRPr="00F32F6F" w:rsidRDefault="00BA1262" w:rsidP="00536DBA">
      <w:pPr>
        <w:pStyle w:val="NoSpacing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BA1262" w:rsidRDefault="00BA1262" w:rsidP="00536DBA"/>
    <w:p w:rsidR="00BA1262" w:rsidRDefault="00BA1262">
      <w:pPr>
        <w:sectPr w:rsidR="00BA1262" w:rsidSect="00536DB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A1262" w:rsidRDefault="00BA1262"/>
    <w:p w:rsidR="00BA1262" w:rsidRDefault="00BA1262"/>
    <w:p w:rsidR="00BA1262" w:rsidRDefault="00BA1262"/>
    <w:sectPr w:rsidR="00BA1262" w:rsidSect="00536D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62" w:rsidRDefault="00BA1262" w:rsidP="00D541FC">
      <w:pPr>
        <w:spacing w:after="0" w:line="240" w:lineRule="auto"/>
      </w:pPr>
      <w:r>
        <w:separator/>
      </w:r>
    </w:p>
  </w:endnote>
  <w:endnote w:type="continuationSeparator" w:id="0">
    <w:p w:rsidR="00BA1262" w:rsidRDefault="00BA1262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62" w:rsidRDefault="00BA1262" w:rsidP="00D541FC">
    <w:pPr>
      <w:pStyle w:val="Footer"/>
      <w:tabs>
        <w:tab w:val="clear" w:pos="4536"/>
        <w:tab w:val="clear" w:pos="9072"/>
        <w:tab w:val="left" w:pos="332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style="position:absolute;left:0;text-align:left;margin-left:0;margin-top:-23pt;width:502.9pt;height:59.7pt;z-index:-251654144;visibility:visible;mso-position-horizontal:center;mso-position-horizontal-relative:margin">
          <v:imagedata r:id="rId1" o:title=""/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62" w:rsidRDefault="00BA1262" w:rsidP="00D541FC">
      <w:pPr>
        <w:spacing w:after="0" w:line="240" w:lineRule="auto"/>
      </w:pPr>
      <w:r>
        <w:separator/>
      </w:r>
    </w:p>
  </w:footnote>
  <w:footnote w:type="continuationSeparator" w:id="0">
    <w:p w:rsidR="00BA1262" w:rsidRDefault="00BA1262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62" w:rsidRDefault="00BA126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0;margin-top:-14.4pt;width:502.05pt;height:65.2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FC"/>
    <w:rsid w:val="00134480"/>
    <w:rsid w:val="00221907"/>
    <w:rsid w:val="002236B7"/>
    <w:rsid w:val="00453EAF"/>
    <w:rsid w:val="004E2E49"/>
    <w:rsid w:val="00536DBA"/>
    <w:rsid w:val="0054088C"/>
    <w:rsid w:val="005B4D12"/>
    <w:rsid w:val="00744BF4"/>
    <w:rsid w:val="00823CD7"/>
    <w:rsid w:val="00876D32"/>
    <w:rsid w:val="00B84DE7"/>
    <w:rsid w:val="00B9354F"/>
    <w:rsid w:val="00BA1262"/>
    <w:rsid w:val="00D541FC"/>
    <w:rsid w:val="00DC3109"/>
    <w:rsid w:val="00E16E4E"/>
    <w:rsid w:val="00F15955"/>
    <w:rsid w:val="00F32F6F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BA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1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41FC"/>
    <w:rPr>
      <w:rFonts w:cs="Times New Roman"/>
    </w:rPr>
  </w:style>
  <w:style w:type="paragraph" w:customStyle="1" w:styleId="NoSpacing1">
    <w:name w:val="No Spacing1"/>
    <w:link w:val="NoSpacingChar"/>
    <w:uiPriority w:val="99"/>
    <w:rsid w:val="00536DBA"/>
    <w:pPr>
      <w:jc w:val="both"/>
    </w:pPr>
    <w:rPr>
      <w:rFonts w:ascii="Palatino Linotype" w:hAnsi="Palatino Linotype"/>
      <w:sz w:val="19"/>
      <w:szCs w:val="19"/>
      <w:lang w:val="en-US"/>
    </w:rPr>
  </w:style>
  <w:style w:type="character" w:customStyle="1" w:styleId="NoSpacingChar">
    <w:name w:val="No Spacing Char"/>
    <w:link w:val="NoSpacing1"/>
    <w:uiPriority w:val="99"/>
    <w:locked/>
    <w:rsid w:val="00536DBA"/>
    <w:rPr>
      <w:rFonts w:ascii="Palatino Linotype" w:eastAsia="Times New Roman" w:hAnsi="Palatino Linotype"/>
      <w:sz w:val="19"/>
      <w:lang w:val="en-US"/>
    </w:rPr>
  </w:style>
  <w:style w:type="paragraph" w:customStyle="1" w:styleId="Tiret1">
    <w:name w:val="Tiret 1"/>
    <w:basedOn w:val="Normal"/>
    <w:uiPriority w:val="99"/>
    <w:rsid w:val="00536DBA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ListParagraph1">
    <w:name w:val="List Paragraph1"/>
    <w:aliases w:val="Podsis rysunku,Obiekt,normalny tekst,Kolorowa lista — akcent 11,L1,Numerowanie,Tytuły tabel i wykresów"/>
    <w:basedOn w:val="Normal"/>
    <w:link w:val="ListParagraphChar"/>
    <w:uiPriority w:val="99"/>
    <w:rsid w:val="00536DBA"/>
    <w:pPr>
      <w:ind w:left="720"/>
      <w:contextualSpacing/>
    </w:pPr>
    <w:rPr>
      <w:rFonts w:eastAsia="Calibri"/>
      <w:sz w:val="19"/>
      <w:szCs w:val="20"/>
      <w:lang w:eastAsia="pl-PL"/>
    </w:rPr>
  </w:style>
  <w:style w:type="character" w:styleId="Hyperlink">
    <w:name w:val="Hyperlink"/>
    <w:basedOn w:val="DefaultParagraphFont"/>
    <w:uiPriority w:val="99"/>
    <w:rsid w:val="00536DBA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ListParagraph1"/>
    <w:uiPriority w:val="99"/>
    <w:locked/>
    <w:rsid w:val="00536DBA"/>
    <w:rPr>
      <w:rFonts w:ascii="Palatino Linotype" w:eastAsia="Times New Roman" w:hAnsi="Palatino Linotype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piss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2006</Words>
  <Characters>12042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User</cp:lastModifiedBy>
  <cp:revision>3</cp:revision>
  <dcterms:created xsi:type="dcterms:W3CDTF">2020-07-01T10:31:00Z</dcterms:created>
  <dcterms:modified xsi:type="dcterms:W3CDTF">2020-07-03T04:15:00Z</dcterms:modified>
</cp:coreProperties>
</file>